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1C7DC9D2" w14:textId="2A4F9E34" w:rsidR="00E016DB" w:rsidRDefault="00CF3654" w:rsidP="001C3FB9">
      <w:pPr>
        <w:spacing w:after="0" w:line="240" w:lineRule="auto"/>
        <w:jc w:val="center"/>
        <w:rPr>
          <w:rFonts w:ascii="Calibri Light" w:hAnsi="Calibri Light" w:cs="Calibri Light"/>
          <w:b/>
          <w:caps/>
          <w:sz w:val="22"/>
          <w:szCs w:val="22"/>
        </w:rPr>
      </w:pPr>
      <w:r w:rsidRPr="00CF3654">
        <w:rPr>
          <w:rFonts w:ascii="Calibri Light" w:eastAsia="Times New Roman" w:hAnsi="Calibri Light" w:cs="Calibri Light"/>
          <w:b/>
          <w:sz w:val="22"/>
          <w:szCs w:val="22"/>
          <w:u w:val="single"/>
        </w:rPr>
        <w:t>VI PIRKIMO DALIS „ELEKTRINIŲ DYDŽIŲ MATAVIMO PRIEMONIŲ PATIKRA“</w:t>
      </w: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6520FC7C"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CF3654">
        <w:rPr>
          <w:rFonts w:ascii="Calibri Light" w:hAnsi="Calibri Light" w:cs="Calibri Light"/>
          <w:sz w:val="22"/>
          <w:szCs w:val="22"/>
        </w:rPr>
        <w:t>6</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6E1FF9">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 xml:space="preserve">tiekėjas, jo subtiekėjas, ūkio subjektas, kurio pajėgumais remiamasi, tiekėjo siūlomų prekių (įskaitant jų sudedamąsias dalis, pakuotes) gamintojas ar juos kontroliuojantys asmenys yra fiziniai asmenys, nuolat </w:t>
      </w:r>
      <w:r w:rsidRPr="006816C4">
        <w:rPr>
          <w:rFonts w:ascii="Calibri Light" w:hAnsi="Calibri Light" w:cs="Calibri Light"/>
          <w:iCs/>
          <w:color w:val="000000" w:themeColor="text1"/>
          <w:sz w:val="22"/>
          <w:szCs w:val="22"/>
          <w:lang w:eastAsia="en-US"/>
        </w:rPr>
        <w:lastRenderedPageBreak/>
        <w:t>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E07"/>
    <w:rsid w:val="0078607D"/>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CF365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4811</Words>
  <Characters>2743</Characters>
  <Application>Microsoft Office Word</Application>
  <DocSecurity>0</DocSecurity>
  <Lines>22</Lines>
  <Paragraphs>15</Paragraphs>
  <ScaleCrop>false</ScaleCrop>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